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241C" w14:textId="77777777" w:rsidR="00525648" w:rsidRDefault="00525648" w:rsidP="009E18BC">
      <w:pPr>
        <w:pStyle w:val="a3"/>
        <w:jc w:val="right"/>
        <w:rPr>
          <w:sz w:val="24"/>
          <w:szCs w:val="24"/>
          <w:lang w:val="uk-UA"/>
        </w:rPr>
      </w:pPr>
    </w:p>
    <w:p w14:paraId="790750CA" w14:textId="77777777" w:rsidR="00525648" w:rsidRDefault="00525648" w:rsidP="009E18BC">
      <w:pPr>
        <w:pStyle w:val="a3"/>
        <w:jc w:val="right"/>
        <w:rPr>
          <w:sz w:val="24"/>
          <w:szCs w:val="24"/>
          <w:lang w:val="uk-UA"/>
        </w:rPr>
      </w:pPr>
    </w:p>
    <w:p w14:paraId="7FADB39D" w14:textId="0CC83E36" w:rsidR="009E18BC" w:rsidRDefault="009E18BC" w:rsidP="009E18BC">
      <w:pPr>
        <w:pStyle w:val="a3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</w:t>
      </w:r>
      <w:r w:rsidR="00764291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до Програми соціально-економічного та культурного розвитку</w:t>
      </w:r>
    </w:p>
    <w:p w14:paraId="38C8632A" w14:textId="7674562E" w:rsidR="003358BB" w:rsidRPr="00613230" w:rsidRDefault="009E18BC" w:rsidP="00613230">
      <w:pPr>
        <w:pStyle w:val="a3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>
        <w:rPr>
          <w:sz w:val="24"/>
          <w:szCs w:val="24"/>
        </w:rPr>
        <w:t>’</w:t>
      </w:r>
      <w:proofErr w:type="spellStart"/>
      <w:r>
        <w:rPr>
          <w:sz w:val="24"/>
          <w:szCs w:val="24"/>
          <w:lang w:val="uk-UA"/>
        </w:rPr>
        <w:t>ятихатської</w:t>
      </w:r>
      <w:proofErr w:type="spellEnd"/>
      <w:r>
        <w:rPr>
          <w:sz w:val="24"/>
          <w:szCs w:val="24"/>
          <w:lang w:val="uk-UA"/>
        </w:rPr>
        <w:t xml:space="preserve"> місько</w:t>
      </w:r>
      <w:r w:rsidR="003358BB">
        <w:rPr>
          <w:sz w:val="24"/>
          <w:szCs w:val="24"/>
          <w:lang w:val="uk-UA"/>
        </w:rPr>
        <w:t>ї територіальної громади на 202</w:t>
      </w:r>
      <w:r w:rsidR="00A65101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рік</w:t>
      </w:r>
    </w:p>
    <w:p w14:paraId="04E5B4DD" w14:textId="0340494F" w:rsidR="006D7D09" w:rsidRDefault="006D7D09" w:rsidP="009D0AB5">
      <w:pPr>
        <w:ind w:right="57"/>
        <w:rPr>
          <w:b/>
          <w:sz w:val="28"/>
          <w:szCs w:val="28"/>
          <w:lang w:val="uk-UA"/>
        </w:rPr>
      </w:pPr>
    </w:p>
    <w:p w14:paraId="11F7A19A" w14:textId="77777777" w:rsidR="00525648" w:rsidRDefault="00525648" w:rsidP="009D0AB5">
      <w:pPr>
        <w:ind w:right="57"/>
        <w:rPr>
          <w:b/>
          <w:sz w:val="28"/>
          <w:szCs w:val="28"/>
          <w:lang w:val="uk-UA"/>
        </w:rPr>
      </w:pPr>
    </w:p>
    <w:p w14:paraId="1DA69D56" w14:textId="36B60402" w:rsidR="009E18BC" w:rsidRDefault="009E18BC" w:rsidP="00613230">
      <w:pPr>
        <w:ind w:right="5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міжбюджетних трансферів, що передаються з місцевого бюджету іншим </w:t>
      </w:r>
      <w:r w:rsidR="000B0F8F">
        <w:rPr>
          <w:b/>
          <w:sz w:val="28"/>
          <w:szCs w:val="28"/>
          <w:lang w:val="uk-UA"/>
        </w:rPr>
        <w:t xml:space="preserve">місцевим </w:t>
      </w:r>
      <w:r w:rsidR="003358BB">
        <w:rPr>
          <w:b/>
          <w:sz w:val="28"/>
          <w:szCs w:val="28"/>
          <w:lang w:val="uk-UA"/>
        </w:rPr>
        <w:t>бюджетам у 202</w:t>
      </w:r>
      <w:r w:rsidR="00A65101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році</w:t>
      </w:r>
    </w:p>
    <w:p w14:paraId="4DBEF819" w14:textId="77777777" w:rsidR="006D7D09" w:rsidRPr="00613230" w:rsidRDefault="006D7D09" w:rsidP="009D0AB5">
      <w:pPr>
        <w:ind w:right="57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5670"/>
        <w:gridCol w:w="3130"/>
      </w:tblGrid>
      <w:tr w:rsidR="009E18BC" w14:paraId="06CA2231" w14:textId="77777777" w:rsidTr="0075010A">
        <w:trPr>
          <w:trHeight w:val="487"/>
        </w:trPr>
        <w:tc>
          <w:tcPr>
            <w:tcW w:w="2376" w:type="dxa"/>
          </w:tcPr>
          <w:p w14:paraId="1BEEAB56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КТПКВКМБ</w:t>
            </w:r>
          </w:p>
        </w:tc>
        <w:tc>
          <w:tcPr>
            <w:tcW w:w="3402" w:type="dxa"/>
          </w:tcPr>
          <w:p w14:paraId="2E2FB379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Бюджет-отримувач</w:t>
            </w:r>
          </w:p>
        </w:tc>
        <w:tc>
          <w:tcPr>
            <w:tcW w:w="5670" w:type="dxa"/>
          </w:tcPr>
          <w:p w14:paraId="7704E964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Призначення</w:t>
            </w:r>
          </w:p>
        </w:tc>
        <w:tc>
          <w:tcPr>
            <w:tcW w:w="3130" w:type="dxa"/>
          </w:tcPr>
          <w:p w14:paraId="127AA9A0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Передбачено на рік</w:t>
            </w:r>
          </w:p>
        </w:tc>
      </w:tr>
      <w:tr w:rsidR="009E18BC" w14:paraId="678A198F" w14:textId="77777777" w:rsidTr="0075010A">
        <w:tc>
          <w:tcPr>
            <w:tcW w:w="2376" w:type="dxa"/>
          </w:tcPr>
          <w:p w14:paraId="138E54B8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5654E30B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6BB8712C" w14:textId="0103E9EB" w:rsidR="009E18BC" w:rsidRPr="007E7E33" w:rsidRDefault="009E18BC" w:rsidP="0061323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 xml:space="preserve">На забезпечення </w:t>
            </w:r>
            <w:r w:rsidR="006D7D09">
              <w:rPr>
                <w:sz w:val="24"/>
                <w:szCs w:val="24"/>
                <w:lang w:val="uk-UA"/>
              </w:rPr>
              <w:t>виконання заходів Програми створення та використання матеріальних резервів для запобігання і ліквідації наслідків надзви</w:t>
            </w:r>
            <w:r w:rsidR="006449A9">
              <w:rPr>
                <w:sz w:val="24"/>
                <w:szCs w:val="24"/>
                <w:lang w:val="uk-UA"/>
              </w:rPr>
              <w:t>ч</w:t>
            </w:r>
            <w:r w:rsidR="006D7D09">
              <w:rPr>
                <w:sz w:val="24"/>
                <w:szCs w:val="24"/>
                <w:lang w:val="uk-UA"/>
              </w:rPr>
              <w:t>айних ситуацій у Дніпропетровській області на 2023-2027 роки (доручення начальника Дніпропетровської обласної військової адміністрації від 22.10.2024 року № 08-65/0/35-24 «Про надання субвенцій з місцевих бюджетів обласному бюджету»)</w:t>
            </w:r>
          </w:p>
        </w:tc>
        <w:tc>
          <w:tcPr>
            <w:tcW w:w="3130" w:type="dxa"/>
          </w:tcPr>
          <w:p w14:paraId="1DDAA21E" w14:textId="77777777" w:rsidR="009E18BC" w:rsidRPr="007E7E33" w:rsidRDefault="00512575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76100</w:t>
            </w:r>
            <w:r w:rsidR="003358BB">
              <w:rPr>
                <w:sz w:val="24"/>
                <w:szCs w:val="24"/>
                <w:lang w:val="uk-UA"/>
              </w:rPr>
              <w:t>,00</w:t>
            </w:r>
          </w:p>
        </w:tc>
      </w:tr>
      <w:tr w:rsidR="008E3097" w:rsidRPr="009B29DE" w14:paraId="5E500EF9" w14:textId="77777777" w:rsidTr="003358BB">
        <w:trPr>
          <w:trHeight w:val="307"/>
        </w:trPr>
        <w:tc>
          <w:tcPr>
            <w:tcW w:w="2376" w:type="dxa"/>
          </w:tcPr>
          <w:p w14:paraId="77E70064" w14:textId="4111991B" w:rsidR="008E3097" w:rsidRDefault="008E3097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7406F868" w14:textId="34D1B30D" w:rsidR="008E3097" w:rsidRPr="009B29DE" w:rsidRDefault="008E3097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4A74A631" w14:textId="7870C6CF" w:rsidR="008E3097" w:rsidRPr="009B29DE" w:rsidRDefault="008E3097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8E3097">
              <w:rPr>
                <w:sz w:val="24"/>
                <w:szCs w:val="24"/>
                <w:lang w:val="uk-UA"/>
              </w:rPr>
              <w:t xml:space="preserve">а співфінансування на реалізацію публічного інвестиційного </w:t>
            </w:r>
            <w:proofErr w:type="spellStart"/>
            <w:r w:rsidRPr="008E3097">
              <w:rPr>
                <w:sz w:val="24"/>
                <w:szCs w:val="24"/>
                <w:lang w:val="uk-UA"/>
              </w:rPr>
              <w:t>проекту</w:t>
            </w:r>
            <w:proofErr w:type="spellEnd"/>
            <w:r w:rsidRPr="008E3097">
              <w:rPr>
                <w:sz w:val="24"/>
                <w:szCs w:val="24"/>
                <w:lang w:val="uk-UA"/>
              </w:rPr>
              <w:t xml:space="preserve"> на безперешкодний доступ до якісної освіти - шкільні автобуси</w:t>
            </w:r>
          </w:p>
        </w:tc>
        <w:tc>
          <w:tcPr>
            <w:tcW w:w="3130" w:type="dxa"/>
          </w:tcPr>
          <w:p w14:paraId="78187BBE" w14:textId="54F267DB" w:rsidR="008E3097" w:rsidRDefault="008E3097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100000,00</w:t>
            </w:r>
          </w:p>
        </w:tc>
      </w:tr>
      <w:tr w:rsidR="00490524" w:rsidRPr="009B29DE" w14:paraId="200DB799" w14:textId="77777777" w:rsidTr="003358BB">
        <w:trPr>
          <w:trHeight w:val="307"/>
        </w:trPr>
        <w:tc>
          <w:tcPr>
            <w:tcW w:w="2376" w:type="dxa"/>
          </w:tcPr>
          <w:p w14:paraId="7993D657" w14:textId="6FCA2776" w:rsidR="00490524" w:rsidRDefault="00490524" w:rsidP="004905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3792CEDA" w14:textId="3958CCE2" w:rsidR="00490524" w:rsidRDefault="00490524" w:rsidP="004905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161655CB" w14:textId="29C349FD" w:rsidR="00490524" w:rsidRDefault="00A663D2" w:rsidP="004905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A663D2">
              <w:rPr>
                <w:sz w:val="24"/>
                <w:szCs w:val="24"/>
                <w:lang w:val="uk-UA"/>
              </w:rPr>
              <w:t xml:space="preserve">забезпечення належного санітарно-епідеміологічного стану санвузла та приміщень, в яких розташовані бригади </w:t>
            </w:r>
            <w:proofErr w:type="spellStart"/>
            <w:r w:rsidRPr="00A663D2">
              <w:rPr>
                <w:sz w:val="24"/>
                <w:szCs w:val="24"/>
                <w:lang w:val="uk-UA"/>
              </w:rPr>
              <w:t>екстренної</w:t>
            </w:r>
            <w:proofErr w:type="spellEnd"/>
            <w:r w:rsidRPr="00A663D2">
              <w:rPr>
                <w:sz w:val="24"/>
                <w:szCs w:val="24"/>
                <w:lang w:val="uk-UA"/>
              </w:rPr>
              <w:t xml:space="preserve"> медичної допомоги в м. </w:t>
            </w:r>
            <w:proofErr w:type="spellStart"/>
            <w:r w:rsidRPr="00A663D2">
              <w:rPr>
                <w:sz w:val="24"/>
                <w:szCs w:val="24"/>
                <w:lang w:val="uk-UA"/>
              </w:rPr>
              <w:t>П"ятихатки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r w:rsidRPr="00A663D2">
              <w:rPr>
                <w:sz w:val="24"/>
                <w:szCs w:val="24"/>
                <w:lang w:val="uk-UA"/>
              </w:rPr>
              <w:t xml:space="preserve"> </w:t>
            </w:r>
            <w:r w:rsidR="00490524" w:rsidRPr="00490524">
              <w:rPr>
                <w:sz w:val="24"/>
                <w:szCs w:val="24"/>
                <w:lang w:val="uk-UA"/>
              </w:rPr>
              <w:t xml:space="preserve">Комунальному некомерційному товариству "Обласний центр </w:t>
            </w:r>
            <w:proofErr w:type="spellStart"/>
            <w:r w:rsidR="00490524" w:rsidRPr="00490524">
              <w:rPr>
                <w:sz w:val="24"/>
                <w:szCs w:val="24"/>
                <w:lang w:val="uk-UA"/>
              </w:rPr>
              <w:t>екстренної</w:t>
            </w:r>
            <w:proofErr w:type="spellEnd"/>
            <w:r w:rsidR="00490524" w:rsidRPr="00490524">
              <w:rPr>
                <w:sz w:val="24"/>
                <w:szCs w:val="24"/>
                <w:lang w:val="uk-UA"/>
              </w:rPr>
              <w:t xml:space="preserve"> медичної допомоги та медицини катастроф" Дніпропетровської обласної ради для удосконалення надання екстреної медичної допомоги</w:t>
            </w:r>
            <w:r w:rsidR="009D0AB5">
              <w:rPr>
                <w:sz w:val="24"/>
                <w:szCs w:val="24"/>
                <w:lang w:val="uk-UA"/>
              </w:rPr>
              <w:t xml:space="preserve"> </w:t>
            </w:r>
            <w:r w:rsidR="009D0AB5" w:rsidRPr="009D0AB5">
              <w:rPr>
                <w:sz w:val="24"/>
                <w:szCs w:val="24"/>
                <w:lang w:val="uk-UA"/>
              </w:rPr>
              <w:t>(придбання будівельних матеріалів, інвентарю та інструментів для проведення ремонтних робіт господарським способом).</w:t>
            </w:r>
          </w:p>
        </w:tc>
        <w:tc>
          <w:tcPr>
            <w:tcW w:w="3130" w:type="dxa"/>
          </w:tcPr>
          <w:p w14:paraId="71E602FE" w14:textId="005ECA41" w:rsidR="00490524" w:rsidRDefault="00490524" w:rsidP="004905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52000,00</w:t>
            </w:r>
          </w:p>
        </w:tc>
      </w:tr>
      <w:tr w:rsidR="00525648" w:rsidRPr="00525648" w14:paraId="01EDCB81" w14:textId="77777777" w:rsidTr="003358BB">
        <w:trPr>
          <w:trHeight w:val="307"/>
        </w:trPr>
        <w:tc>
          <w:tcPr>
            <w:tcW w:w="2376" w:type="dxa"/>
          </w:tcPr>
          <w:p w14:paraId="65222AB1" w14:textId="5432F2F8" w:rsidR="00525648" w:rsidRDefault="00525648" w:rsidP="005256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6ACCB5D8" w14:textId="419FF952" w:rsidR="00525648" w:rsidRDefault="00525648" w:rsidP="005256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4A690EBD" w14:textId="3428E157" w:rsidR="00525648" w:rsidRDefault="00525648" w:rsidP="005256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525648"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  <w:lang w:val="uk-UA"/>
              </w:rPr>
              <w:t xml:space="preserve">забезпечення </w:t>
            </w:r>
            <w:r w:rsidRPr="00525648">
              <w:rPr>
                <w:sz w:val="24"/>
                <w:szCs w:val="24"/>
                <w:lang w:val="uk-UA"/>
              </w:rPr>
              <w:t xml:space="preserve">виконання заходів регіональної Програми забезпечення громадського порядку та громадської безпеки на території Дніпропетровської </w:t>
            </w:r>
            <w:r w:rsidRPr="00525648">
              <w:rPr>
                <w:sz w:val="24"/>
                <w:szCs w:val="24"/>
                <w:lang w:val="uk-UA"/>
              </w:rPr>
              <w:lastRenderedPageBreak/>
              <w:t>області на період до 2028 року, затвердженої рішенням Дніпропетровської обласної ради від 25 березня 2016 року № 30-3-VІІ (зі змінами)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525648">
              <w:rPr>
                <w:sz w:val="24"/>
                <w:szCs w:val="24"/>
                <w:lang w:val="uk-UA"/>
              </w:rPr>
              <w:t>відповідно до доручення начальника Дніпропетровської ОВА від 15.01.2026 року № 08-2/0/35-26</w:t>
            </w:r>
          </w:p>
        </w:tc>
        <w:tc>
          <w:tcPr>
            <w:tcW w:w="3130" w:type="dxa"/>
          </w:tcPr>
          <w:p w14:paraId="3B673876" w14:textId="0F066A7D" w:rsidR="00525648" w:rsidRDefault="00525648" w:rsidP="005256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700000,00</w:t>
            </w:r>
          </w:p>
        </w:tc>
      </w:tr>
      <w:tr w:rsidR="009B29DE" w:rsidRPr="009B29DE" w14:paraId="01CEF487" w14:textId="77777777" w:rsidTr="003358BB">
        <w:trPr>
          <w:trHeight w:val="307"/>
        </w:trPr>
        <w:tc>
          <w:tcPr>
            <w:tcW w:w="2376" w:type="dxa"/>
          </w:tcPr>
          <w:p w14:paraId="041D5F86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02" w:type="dxa"/>
          </w:tcPr>
          <w:p w14:paraId="75E65D5C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1988FC7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0" w:type="dxa"/>
          </w:tcPr>
          <w:p w14:paraId="74D09AC9" w14:textId="4CC62314" w:rsidR="009B29DE" w:rsidRPr="009B29DE" w:rsidRDefault="00525648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490524">
              <w:rPr>
                <w:sz w:val="24"/>
                <w:szCs w:val="24"/>
                <w:lang w:val="uk-UA"/>
              </w:rPr>
              <w:t>28</w:t>
            </w:r>
            <w:r w:rsidR="001E26C2">
              <w:rPr>
                <w:sz w:val="24"/>
                <w:szCs w:val="24"/>
                <w:lang w:val="uk-UA"/>
              </w:rPr>
              <w:t>100</w:t>
            </w:r>
            <w:r w:rsidR="009B29DE">
              <w:rPr>
                <w:sz w:val="24"/>
                <w:szCs w:val="24"/>
                <w:lang w:val="uk-UA"/>
              </w:rPr>
              <w:t>,00</w:t>
            </w:r>
          </w:p>
        </w:tc>
      </w:tr>
    </w:tbl>
    <w:p w14:paraId="7A5B378B" w14:textId="77777777" w:rsidR="00613230" w:rsidRDefault="00613230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026C6782" w14:textId="77777777" w:rsidR="006D7D09" w:rsidRDefault="006D7D09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5CDFF33E" w14:textId="77777777" w:rsidR="009D0AB5" w:rsidRDefault="009D0AB5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55469A01" w14:textId="77777777" w:rsidR="00525648" w:rsidRDefault="00525648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5AA31BE2" w14:textId="77777777" w:rsidR="00525648" w:rsidRDefault="00525648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7B879AE8" w14:textId="186EB8C6" w:rsidR="0004660B" w:rsidRPr="009B29DE" w:rsidRDefault="009E18BC" w:rsidP="00633F64">
      <w:pPr>
        <w:pStyle w:val="2"/>
      </w:pPr>
      <w:r w:rsidRPr="00A91E7C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="00232F9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="00232F9C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sectPr w:rsidR="0004660B" w:rsidRPr="009B29DE" w:rsidSect="007E7E33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8BC"/>
    <w:rsid w:val="0000276B"/>
    <w:rsid w:val="0004660B"/>
    <w:rsid w:val="000B01BA"/>
    <w:rsid w:val="000B0F8F"/>
    <w:rsid w:val="000D1E95"/>
    <w:rsid w:val="00117772"/>
    <w:rsid w:val="001E26C2"/>
    <w:rsid w:val="001E6A17"/>
    <w:rsid w:val="00232F9C"/>
    <w:rsid w:val="002C1FD6"/>
    <w:rsid w:val="002F415F"/>
    <w:rsid w:val="003358BB"/>
    <w:rsid w:val="003374AC"/>
    <w:rsid w:val="0034797C"/>
    <w:rsid w:val="00372128"/>
    <w:rsid w:val="00490524"/>
    <w:rsid w:val="004C470B"/>
    <w:rsid w:val="00512575"/>
    <w:rsid w:val="00525648"/>
    <w:rsid w:val="005869CA"/>
    <w:rsid w:val="00613230"/>
    <w:rsid w:val="00633F64"/>
    <w:rsid w:val="006449A9"/>
    <w:rsid w:val="00650E5A"/>
    <w:rsid w:val="006A0C49"/>
    <w:rsid w:val="006C46D7"/>
    <w:rsid w:val="006C6975"/>
    <w:rsid w:val="006D7D09"/>
    <w:rsid w:val="00762B98"/>
    <w:rsid w:val="00764291"/>
    <w:rsid w:val="007A6297"/>
    <w:rsid w:val="007E7E33"/>
    <w:rsid w:val="007F7610"/>
    <w:rsid w:val="008541AB"/>
    <w:rsid w:val="00897902"/>
    <w:rsid w:val="008A081E"/>
    <w:rsid w:val="008A4DDC"/>
    <w:rsid w:val="008E3097"/>
    <w:rsid w:val="008E4270"/>
    <w:rsid w:val="009B29DE"/>
    <w:rsid w:val="009D0AB5"/>
    <w:rsid w:val="009E18BC"/>
    <w:rsid w:val="00A12003"/>
    <w:rsid w:val="00A65101"/>
    <w:rsid w:val="00A663D2"/>
    <w:rsid w:val="00AD66D4"/>
    <w:rsid w:val="00CE7337"/>
    <w:rsid w:val="00CF2D68"/>
    <w:rsid w:val="00E560DB"/>
    <w:rsid w:val="00EA0C8A"/>
    <w:rsid w:val="00F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6F14"/>
  <w15:docId w15:val="{2CBE7E60-22A6-4642-9423-3E7703FC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9E18B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9E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E1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020C-5195-403E-BDE2-3A861F33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Другий</cp:lastModifiedBy>
  <cp:revision>6</cp:revision>
  <dcterms:created xsi:type="dcterms:W3CDTF">2026-01-27T06:27:00Z</dcterms:created>
  <dcterms:modified xsi:type="dcterms:W3CDTF">2026-02-24T10:28:00Z</dcterms:modified>
</cp:coreProperties>
</file>