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2F" w:rsidRPr="00CE562F" w:rsidRDefault="00CE562F" w:rsidP="00D959BD">
      <w:pPr>
        <w:widowControl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                                                                       </w:t>
      </w:r>
      <w:r w:rsidRPr="00CE562F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Додаток </w:t>
      </w:r>
    </w:p>
    <w:p w:rsidR="00CE562F" w:rsidRPr="00CE562F" w:rsidRDefault="00CE562F" w:rsidP="00D959BD">
      <w:pPr>
        <w:widowControl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CE562F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                                                                       до рішення виконкому </w:t>
      </w:r>
    </w:p>
    <w:p w:rsidR="00CE562F" w:rsidRDefault="00CE562F" w:rsidP="00D959BD">
      <w:pPr>
        <w:widowControl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CE562F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                                                                       від 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>28</w:t>
      </w:r>
      <w:r w:rsidRPr="00CE562F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>ли</w:t>
      </w:r>
      <w:r w:rsidRPr="00CE562F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>пня 202</w:t>
      </w:r>
      <w:r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>6</w:t>
      </w:r>
      <w:r w:rsidRPr="00CE562F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року № </w:t>
      </w:r>
    </w:p>
    <w:p w:rsidR="00CE562F" w:rsidRPr="00CE562F" w:rsidRDefault="00CE562F" w:rsidP="00CE562F">
      <w:pPr>
        <w:widowControl/>
        <w:spacing w:line="278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B70878" w:rsidRPr="0046793F" w:rsidRDefault="00D17EB2" w:rsidP="0046793F">
      <w:pPr>
        <w:pStyle w:val="1"/>
        <w:spacing w:after="280"/>
        <w:ind w:firstLine="0"/>
        <w:jc w:val="center"/>
        <w:rPr>
          <w:b/>
          <w:bCs/>
        </w:rPr>
      </w:pPr>
      <w:r>
        <w:rPr>
          <w:b/>
          <w:bCs/>
        </w:rPr>
        <w:t>Середньостроковий план</w:t>
      </w:r>
      <w:r>
        <w:rPr>
          <w:b/>
          <w:bCs/>
        </w:rPr>
        <w:br/>
        <w:t xml:space="preserve">пріоритетних публічних інвестицій </w:t>
      </w:r>
      <w:r w:rsidR="0046793F">
        <w:rPr>
          <w:b/>
          <w:bCs/>
        </w:rPr>
        <w:t xml:space="preserve">                                                           </w:t>
      </w:r>
      <w:proofErr w:type="spellStart"/>
      <w:r w:rsidR="0046793F">
        <w:rPr>
          <w:b/>
          <w:bCs/>
        </w:rPr>
        <w:t>П’ятихатської</w:t>
      </w:r>
      <w:proofErr w:type="spellEnd"/>
      <w:r w:rsidR="0046793F">
        <w:rPr>
          <w:b/>
          <w:bCs/>
        </w:rPr>
        <w:t xml:space="preserve"> міської територіальної громади                                                                  </w:t>
      </w:r>
      <w:r>
        <w:rPr>
          <w:b/>
          <w:bCs/>
        </w:rPr>
        <w:t>на 2027 - 2029 роки</w:t>
      </w:r>
    </w:p>
    <w:p w:rsidR="00B70878" w:rsidRDefault="00D17EB2">
      <w:pPr>
        <w:pStyle w:val="1"/>
        <w:ind w:firstLine="720"/>
        <w:jc w:val="both"/>
      </w:pPr>
      <w:r>
        <w:t>С</w:t>
      </w:r>
      <w:r w:rsidR="00DF1060">
        <w:t xml:space="preserve">ередньостроковий план пріоритетних публічних інвестицій </w:t>
      </w:r>
      <w:proofErr w:type="spellStart"/>
      <w:r w:rsidR="00DF1060">
        <w:t>П’ятихатської</w:t>
      </w:r>
      <w:proofErr w:type="spellEnd"/>
      <w:r w:rsidR="00DF1060">
        <w:t xml:space="preserve"> міської територіальної громади на </w:t>
      </w:r>
      <w:r>
        <w:t xml:space="preserve">2027-2029 </w:t>
      </w:r>
      <w:r w:rsidR="00DF1060">
        <w:t xml:space="preserve"> роки </w:t>
      </w:r>
      <w:r>
        <w:t xml:space="preserve">розроблено </w:t>
      </w:r>
      <w:r w:rsidR="00DF1060">
        <w:t xml:space="preserve">відповідно до </w:t>
      </w:r>
      <w:r w:rsidR="00DF1060" w:rsidRPr="00DF1060">
        <w:t>визначен</w:t>
      </w:r>
      <w:r w:rsidR="00DF1060">
        <w:t>их державою</w:t>
      </w:r>
      <w:r w:rsidR="00DF1060" w:rsidRPr="00DF1060">
        <w:t xml:space="preserve"> наскрізних стратегічних цілей, пріоритетних галузей (секторів)</w:t>
      </w:r>
      <w:r w:rsidR="00DF1060">
        <w:t xml:space="preserve">, їх </w:t>
      </w:r>
      <w:proofErr w:type="spellStart"/>
      <w:r w:rsidR="00DF1060">
        <w:t>підсекторів</w:t>
      </w:r>
      <w:proofErr w:type="spellEnd"/>
      <w:r w:rsidR="00DF1060">
        <w:t xml:space="preserve"> та основних напрямів</w:t>
      </w:r>
      <w:r w:rsidR="00DF1060" w:rsidRPr="00DF1060">
        <w:t xml:space="preserve"> публічного інвестування</w:t>
      </w:r>
      <w:r w:rsidR="00DF1060">
        <w:t xml:space="preserve"> держави</w:t>
      </w:r>
      <w:r w:rsidR="00DF1060" w:rsidRPr="00DF1060">
        <w:t xml:space="preserve">, </w:t>
      </w:r>
      <w:r>
        <w:t xml:space="preserve">на підставі пропозицій </w:t>
      </w:r>
      <w:r w:rsidR="00DF1060">
        <w:t>виконавчих органів та комунальних підприємств,</w:t>
      </w:r>
      <w:r w:rsidR="006401C5">
        <w:t xml:space="preserve"> закладів</w:t>
      </w:r>
      <w:r w:rsidR="006401C5" w:rsidRPr="006401C5">
        <w:t xml:space="preserve"> </w:t>
      </w:r>
      <w:proofErr w:type="spellStart"/>
      <w:r w:rsidR="006401C5" w:rsidRPr="006401C5">
        <w:t>П’ятихатської</w:t>
      </w:r>
      <w:proofErr w:type="spellEnd"/>
      <w:r w:rsidR="006401C5" w:rsidRPr="006401C5">
        <w:t xml:space="preserve"> міської ради</w:t>
      </w:r>
      <w:r w:rsidR="006401C5">
        <w:t>,</w:t>
      </w:r>
      <w:r w:rsidR="00DF1060">
        <w:t xml:space="preserve"> </w:t>
      </w:r>
      <w:r>
        <w:t>відповідно до цілей і завдань, визначених документ</w:t>
      </w:r>
      <w:r w:rsidR="00523294">
        <w:t>ом</w:t>
      </w:r>
      <w:r>
        <w:t xml:space="preserve"> стратегічного планування</w:t>
      </w:r>
      <w:r w:rsidR="006401C5">
        <w:t xml:space="preserve"> – Стратегії розвитку</w:t>
      </w:r>
      <w:r w:rsidR="006401C5" w:rsidRPr="006401C5">
        <w:t xml:space="preserve"> </w:t>
      </w:r>
      <w:proofErr w:type="spellStart"/>
      <w:r w:rsidR="006401C5" w:rsidRPr="006401C5">
        <w:t>П’ятихатської</w:t>
      </w:r>
      <w:proofErr w:type="spellEnd"/>
      <w:r w:rsidR="006401C5" w:rsidRPr="006401C5">
        <w:t xml:space="preserve"> міської територіальної громади</w:t>
      </w:r>
      <w:r w:rsidR="006401C5">
        <w:t xml:space="preserve"> </w:t>
      </w:r>
      <w:r w:rsidR="00523294">
        <w:t xml:space="preserve">на період </w:t>
      </w:r>
      <w:r w:rsidR="006401C5">
        <w:t>до 2030 року</w:t>
      </w:r>
      <w:r>
        <w:t>, у межах орієнтовного граничного сукупного обсягу публічних інвестицій на середньостроков</w:t>
      </w:r>
      <w:r>
        <w:t xml:space="preserve">ий період, доведеного </w:t>
      </w:r>
      <w:r w:rsidR="00CE562F">
        <w:t xml:space="preserve">Фінансовим управлінням </w:t>
      </w:r>
      <w:proofErr w:type="spellStart"/>
      <w:r w:rsidR="00CE562F">
        <w:t>П’ятихатської</w:t>
      </w:r>
      <w:proofErr w:type="spellEnd"/>
      <w:r w:rsidR="00CE562F">
        <w:t xml:space="preserve"> міської ради</w:t>
      </w:r>
      <w:r>
        <w:t>.</w:t>
      </w:r>
    </w:p>
    <w:p w:rsidR="008E32DD" w:rsidRDefault="008E32DD">
      <w:pPr>
        <w:pStyle w:val="1"/>
        <w:ind w:firstLine="720"/>
        <w:jc w:val="both"/>
      </w:pPr>
    </w:p>
    <w:p w:rsidR="00B70878" w:rsidRDefault="006401C5" w:rsidP="006401C5">
      <w:pPr>
        <w:pStyle w:val="1"/>
        <w:spacing w:after="280"/>
        <w:ind w:firstLine="0"/>
      </w:pPr>
      <w:r>
        <w:rPr>
          <w:i/>
          <w:iCs/>
        </w:rPr>
        <w:t xml:space="preserve">    Наскрізними стратегічними цілями здійснення публічних інвестицій </w:t>
      </w:r>
      <w:r w:rsidRPr="006401C5">
        <w:t>громади на</w:t>
      </w:r>
      <w:r>
        <w:t xml:space="preserve"> 2027-2029 роки є </w:t>
      </w:r>
      <w:proofErr w:type="spellStart"/>
      <w:r>
        <w:t>енергоефективність</w:t>
      </w:r>
      <w:proofErr w:type="spellEnd"/>
      <w:r>
        <w:t xml:space="preserve">, </w:t>
      </w:r>
      <w:proofErr w:type="spellStart"/>
      <w:r>
        <w:t>цифровізація</w:t>
      </w:r>
      <w:proofErr w:type="spellEnd"/>
      <w:r>
        <w:t xml:space="preserve">, гендерна рівність та </w:t>
      </w:r>
      <w:proofErr w:type="spellStart"/>
      <w:r>
        <w:t>безбар’єрність</w:t>
      </w:r>
      <w:proofErr w:type="spellEnd"/>
      <w:r>
        <w:t>.</w:t>
      </w:r>
    </w:p>
    <w:p w:rsidR="00B70878" w:rsidRPr="00113B9D" w:rsidRDefault="00FB32B5" w:rsidP="00CC2D79">
      <w:pPr>
        <w:pStyle w:val="1"/>
        <w:spacing w:after="280"/>
        <w:ind w:firstLine="0"/>
      </w:pPr>
      <w:r>
        <w:rPr>
          <w:i/>
          <w:iCs/>
        </w:rPr>
        <w:t xml:space="preserve">           До пріоритетних галузей (секторів) для публічного інвестування</w:t>
      </w:r>
      <w:r w:rsidR="00CC2D79">
        <w:t xml:space="preserve"> СП ППІ </w:t>
      </w:r>
      <w:proofErr w:type="spellStart"/>
      <w:r w:rsidR="00CC2D79" w:rsidRPr="00113B9D">
        <w:t>П’ятихатської</w:t>
      </w:r>
      <w:proofErr w:type="spellEnd"/>
      <w:r w:rsidR="00CC2D79" w:rsidRPr="00113B9D">
        <w:t xml:space="preserve"> </w:t>
      </w:r>
      <w:r w:rsidRPr="00113B9D">
        <w:t xml:space="preserve">міської територіальної </w:t>
      </w:r>
      <w:r w:rsidR="00CC2D79" w:rsidRPr="00113B9D">
        <w:t>громади на 2027-2029 роки</w:t>
      </w:r>
      <w:r w:rsidR="007A33EB" w:rsidRPr="00113B9D">
        <w:t xml:space="preserve"> </w:t>
      </w:r>
      <w:r w:rsidRPr="00113B9D">
        <w:t>належать:</w:t>
      </w:r>
    </w:p>
    <w:p w:rsidR="00B70878" w:rsidRPr="00113B9D" w:rsidRDefault="00113B9D" w:rsidP="00113B9D">
      <w:pPr>
        <w:pStyle w:val="1"/>
        <w:jc w:val="both"/>
      </w:pPr>
      <w:r w:rsidRPr="00113B9D">
        <w:t xml:space="preserve">    Культура та інформація</w:t>
      </w:r>
    </w:p>
    <w:p w:rsidR="00B70878" w:rsidRPr="00113B9D" w:rsidRDefault="00FB32B5" w:rsidP="00FB32B5">
      <w:pPr>
        <w:pStyle w:val="1"/>
        <w:jc w:val="both"/>
      </w:pPr>
      <w:r w:rsidRPr="00113B9D">
        <w:t xml:space="preserve">    Спорт, фізичне та молодіжне виховання</w:t>
      </w:r>
    </w:p>
    <w:p w:rsidR="00B70878" w:rsidRPr="00113B9D" w:rsidRDefault="00D17EB2">
      <w:pPr>
        <w:pStyle w:val="1"/>
        <w:ind w:firstLine="720"/>
        <w:jc w:val="both"/>
      </w:pPr>
      <w:r w:rsidRPr="00113B9D">
        <w:t>Житло</w:t>
      </w:r>
    </w:p>
    <w:p w:rsidR="00B70878" w:rsidRPr="00113B9D" w:rsidRDefault="00D17EB2">
      <w:pPr>
        <w:pStyle w:val="1"/>
        <w:ind w:firstLine="720"/>
        <w:jc w:val="both"/>
      </w:pPr>
      <w:r w:rsidRPr="00113B9D">
        <w:t>Муніципальна інфраструктура та послуги</w:t>
      </w:r>
    </w:p>
    <w:p w:rsidR="00B70878" w:rsidRPr="00113B9D" w:rsidRDefault="00D17EB2">
      <w:pPr>
        <w:pStyle w:val="1"/>
        <w:ind w:firstLine="720"/>
        <w:jc w:val="both"/>
      </w:pPr>
      <w:r w:rsidRPr="00113B9D">
        <w:t>Тр</w:t>
      </w:r>
      <w:r w:rsidRPr="00113B9D">
        <w:t>анспорт та послуги поштового зв'язку</w:t>
      </w:r>
    </w:p>
    <w:p w:rsidR="00B70878" w:rsidRPr="00113B9D" w:rsidRDefault="00D17EB2">
      <w:pPr>
        <w:pStyle w:val="1"/>
        <w:ind w:firstLine="720"/>
        <w:jc w:val="both"/>
      </w:pPr>
      <w:r w:rsidRPr="00113B9D">
        <w:t>Довкілля</w:t>
      </w:r>
    </w:p>
    <w:p w:rsidR="00B70878" w:rsidRPr="00113B9D" w:rsidRDefault="00D17EB2">
      <w:pPr>
        <w:pStyle w:val="1"/>
        <w:ind w:firstLine="720"/>
        <w:jc w:val="both"/>
      </w:pPr>
      <w:r w:rsidRPr="00113B9D">
        <w:t>Аграрна</w:t>
      </w:r>
    </w:p>
    <w:p w:rsidR="00B70878" w:rsidRPr="00113B9D" w:rsidRDefault="00D17EB2">
      <w:pPr>
        <w:pStyle w:val="1"/>
        <w:ind w:firstLine="720"/>
        <w:jc w:val="both"/>
      </w:pPr>
      <w:r w:rsidRPr="00113B9D">
        <w:t>Економічна діяльність</w:t>
      </w:r>
    </w:p>
    <w:p w:rsidR="00B70878" w:rsidRPr="00113B9D" w:rsidRDefault="00D17EB2">
      <w:pPr>
        <w:pStyle w:val="1"/>
        <w:ind w:firstLine="720"/>
        <w:jc w:val="both"/>
      </w:pPr>
      <w:r w:rsidRPr="00113B9D">
        <w:t>Цифрова трансформація держави та суспільства</w:t>
      </w:r>
    </w:p>
    <w:p w:rsidR="00B70878" w:rsidRPr="00113B9D" w:rsidRDefault="00D17EB2">
      <w:pPr>
        <w:pStyle w:val="1"/>
        <w:ind w:firstLine="720"/>
        <w:jc w:val="both"/>
      </w:pPr>
      <w:r w:rsidRPr="00113B9D">
        <w:t>Освіта і наука</w:t>
      </w:r>
    </w:p>
    <w:p w:rsidR="00B70878" w:rsidRPr="00113B9D" w:rsidRDefault="00D17EB2">
      <w:pPr>
        <w:pStyle w:val="1"/>
        <w:ind w:firstLine="720"/>
        <w:jc w:val="both"/>
      </w:pPr>
      <w:r w:rsidRPr="00113B9D">
        <w:t>Охорона здоров'я</w:t>
      </w:r>
    </w:p>
    <w:p w:rsidR="00CE562F" w:rsidRDefault="00D17EB2" w:rsidP="00CE562F">
      <w:pPr>
        <w:pStyle w:val="1"/>
        <w:ind w:firstLine="720"/>
        <w:jc w:val="both"/>
      </w:pPr>
      <w:r w:rsidRPr="00113B9D">
        <w:t>Соціальна сфера</w:t>
      </w:r>
      <w:r w:rsidR="00325880" w:rsidRPr="00113B9D">
        <w:t>.</w:t>
      </w:r>
      <w:r w:rsidR="00FB32B5">
        <w:t xml:space="preserve">                                                                                                 </w:t>
      </w:r>
    </w:p>
    <w:p w:rsidR="00CE562F" w:rsidRDefault="007A33EB" w:rsidP="00CE562F">
      <w:pPr>
        <w:pStyle w:val="1"/>
        <w:ind w:firstLine="720"/>
        <w:jc w:val="both"/>
      </w:pPr>
      <w:r>
        <w:t xml:space="preserve">                                                                                                                               Середньостроковий план</w:t>
      </w:r>
      <w:r w:rsidRPr="007A33EB">
        <w:t xml:space="preserve"> </w:t>
      </w:r>
      <w:r>
        <w:t>пріоритетних публічних інвестицій</w:t>
      </w:r>
      <w:r w:rsidRPr="007A33EB">
        <w:t xml:space="preserve"> </w:t>
      </w:r>
      <w:proofErr w:type="spellStart"/>
      <w:r>
        <w:t>П’ятихатської</w:t>
      </w:r>
      <w:proofErr w:type="spellEnd"/>
      <w:r>
        <w:t xml:space="preserve"> міської територіальної</w:t>
      </w:r>
      <w:r w:rsidRPr="007A33EB">
        <w:t xml:space="preserve"> </w:t>
      </w:r>
      <w:r>
        <w:t>громади на 202</w:t>
      </w:r>
      <w:r w:rsidR="00FB32B5">
        <w:t>7</w:t>
      </w:r>
      <w:r>
        <w:t xml:space="preserve"> - 202</w:t>
      </w:r>
      <w:r w:rsidR="00FB32B5">
        <w:t>9</w:t>
      </w:r>
      <w:r>
        <w:t xml:space="preserve"> роки визначений у До</w:t>
      </w:r>
      <w:r w:rsidR="00694E63">
        <w:t>датку.</w:t>
      </w:r>
      <w:r>
        <w:t xml:space="preserve"> </w:t>
      </w:r>
      <w:r w:rsidR="00CE562F">
        <w:t xml:space="preserve">  </w:t>
      </w:r>
    </w:p>
    <w:p w:rsidR="00CE562F" w:rsidRDefault="007A33EB" w:rsidP="00CE562F">
      <w:pPr>
        <w:jc w:val="both"/>
      </w:pPr>
      <w:r>
        <w:t xml:space="preserve">  </w:t>
      </w:r>
    </w:p>
    <w:p w:rsidR="00CE562F" w:rsidRDefault="00CE562F" w:rsidP="00CE562F">
      <w:pPr>
        <w:jc w:val="both"/>
      </w:pPr>
    </w:p>
    <w:p w:rsidR="00D959BD" w:rsidRPr="00CE562F" w:rsidRDefault="00D959BD" w:rsidP="00CE562F">
      <w:pPr>
        <w:jc w:val="both"/>
      </w:pPr>
    </w:p>
    <w:p w:rsidR="00CE562F" w:rsidRPr="00CE562F" w:rsidRDefault="00CE562F" w:rsidP="00CE562F">
      <w:pPr>
        <w:widowControl/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CE562F">
        <w:rPr>
          <w:rFonts w:ascii="Times New Roman" w:hAnsi="Times New Roman" w:cs="Times New Roman"/>
          <w:sz w:val="28"/>
          <w:szCs w:val="28"/>
        </w:rPr>
        <w:t>Керуюча справами (секретар)</w:t>
      </w:r>
    </w:p>
    <w:p w:rsidR="00CC2D79" w:rsidRPr="00CE562F" w:rsidRDefault="00CE562F" w:rsidP="00CE562F">
      <w:pPr>
        <w:widowControl/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CE562F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9C360A">
        <w:rPr>
          <w:rFonts w:ascii="Times New Roman" w:hAnsi="Times New Roman" w:cs="Times New Roman"/>
          <w:sz w:val="28"/>
          <w:szCs w:val="28"/>
        </w:rPr>
        <w:t>міської ради</w:t>
      </w:r>
      <w:r w:rsidRPr="00CE56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C36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E562F">
        <w:rPr>
          <w:rFonts w:ascii="Times New Roman" w:hAnsi="Times New Roman" w:cs="Times New Roman"/>
          <w:sz w:val="28"/>
          <w:szCs w:val="28"/>
        </w:rPr>
        <w:t xml:space="preserve"> Наталія ПЛАХОТНЯ</w:t>
      </w:r>
      <w:r w:rsidR="007A33EB">
        <w:t xml:space="preserve">                                                                                              </w:t>
      </w:r>
    </w:p>
    <w:sectPr w:rsidR="00CC2D79" w:rsidRPr="00CE562F" w:rsidSect="00CE562F">
      <w:pgSz w:w="11900" w:h="16840"/>
      <w:pgMar w:top="964" w:right="675" w:bottom="567" w:left="1276" w:header="714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EB2" w:rsidRDefault="00D17EB2">
      <w:r>
        <w:separator/>
      </w:r>
    </w:p>
  </w:endnote>
  <w:endnote w:type="continuationSeparator" w:id="0">
    <w:p w:rsidR="00D17EB2" w:rsidRDefault="00D17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EB2" w:rsidRDefault="00D17EB2"/>
  </w:footnote>
  <w:footnote w:type="continuationSeparator" w:id="0">
    <w:p w:rsidR="00D17EB2" w:rsidRDefault="00D17E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70878"/>
    <w:rsid w:val="00113B9D"/>
    <w:rsid w:val="00230AA6"/>
    <w:rsid w:val="002B03AD"/>
    <w:rsid w:val="002D697A"/>
    <w:rsid w:val="003001DD"/>
    <w:rsid w:val="00325880"/>
    <w:rsid w:val="003C1A25"/>
    <w:rsid w:val="003E227F"/>
    <w:rsid w:val="0046793F"/>
    <w:rsid w:val="004D44EB"/>
    <w:rsid w:val="00510A5F"/>
    <w:rsid w:val="00523294"/>
    <w:rsid w:val="00597841"/>
    <w:rsid w:val="006401C5"/>
    <w:rsid w:val="00694E63"/>
    <w:rsid w:val="0069728D"/>
    <w:rsid w:val="007A33EB"/>
    <w:rsid w:val="008E32DD"/>
    <w:rsid w:val="00912A1F"/>
    <w:rsid w:val="0098456E"/>
    <w:rsid w:val="009C360A"/>
    <w:rsid w:val="00A1115E"/>
    <w:rsid w:val="00A7088A"/>
    <w:rsid w:val="00AD22AB"/>
    <w:rsid w:val="00B278EC"/>
    <w:rsid w:val="00B53703"/>
    <w:rsid w:val="00B637D9"/>
    <w:rsid w:val="00B70878"/>
    <w:rsid w:val="00C92DAC"/>
    <w:rsid w:val="00CC2D79"/>
    <w:rsid w:val="00CE562F"/>
    <w:rsid w:val="00D17EB2"/>
    <w:rsid w:val="00D959BD"/>
    <w:rsid w:val="00DF1060"/>
    <w:rsid w:val="00E53CE0"/>
    <w:rsid w:val="00FB32B5"/>
    <w:rsid w:val="00FB4936"/>
    <w:rsid w:val="00FC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230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230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230A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Інше_"/>
    <w:basedOn w:val="a0"/>
    <w:link w:val="a5"/>
    <w:rsid w:val="00230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ідпис до таблиці_"/>
    <w:basedOn w:val="a0"/>
    <w:link w:val="a7"/>
    <w:rsid w:val="00230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ий текст1"/>
    <w:basedOn w:val="a"/>
    <w:link w:val="a3"/>
    <w:rsid w:val="00230A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230AA6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230AA6"/>
    <w:pPr>
      <w:spacing w:after="400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Інше"/>
    <w:basedOn w:val="a"/>
    <w:link w:val="a4"/>
    <w:rsid w:val="00230AA6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ідпис до таблиці"/>
    <w:basedOn w:val="a"/>
    <w:link w:val="a6"/>
    <w:rsid w:val="00230AA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ДЕМЕНЧУК Світлана Степанівна</dc:creator>
  <cp:keywords/>
  <cp:lastModifiedBy>Nataliya</cp:lastModifiedBy>
  <cp:revision>19</cp:revision>
  <dcterms:created xsi:type="dcterms:W3CDTF">2026-06-24T05:23:00Z</dcterms:created>
  <dcterms:modified xsi:type="dcterms:W3CDTF">2026-07-22T08:00:00Z</dcterms:modified>
</cp:coreProperties>
</file>